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0C687" w14:textId="53CE678E" w:rsidR="00006CA1" w:rsidRPr="00107050" w:rsidRDefault="00107050" w:rsidP="00107050">
      <w:pPr>
        <w:ind w:left="2880" w:firstLine="720"/>
        <w:rPr>
          <w:b/>
          <w:bCs/>
          <w:sz w:val="36"/>
          <w:szCs w:val="36"/>
        </w:rPr>
      </w:pPr>
      <w:r>
        <w:rPr>
          <w:b/>
          <w:bCs/>
          <w:sz w:val="44"/>
          <w:szCs w:val="44"/>
        </w:rPr>
        <w:t xml:space="preserve">      </w:t>
      </w:r>
      <w:r w:rsidR="00006CA1" w:rsidRPr="00107050">
        <w:rPr>
          <w:b/>
          <w:bCs/>
          <w:sz w:val="36"/>
          <w:szCs w:val="36"/>
        </w:rPr>
        <w:t>OVERVIEW</w:t>
      </w:r>
    </w:p>
    <w:p w14:paraId="3A6B6A80" w14:textId="220DB2CA" w:rsidR="00E516EE" w:rsidRPr="00107050" w:rsidRDefault="00E516EE" w:rsidP="00E516EE">
      <w:pPr>
        <w:jc w:val="center"/>
        <w:rPr>
          <w:b/>
          <w:bCs/>
          <w:sz w:val="36"/>
          <w:szCs w:val="36"/>
        </w:rPr>
      </w:pPr>
      <w:r w:rsidRPr="00107050">
        <w:rPr>
          <w:b/>
          <w:bCs/>
          <w:sz w:val="36"/>
          <w:szCs w:val="36"/>
        </w:rPr>
        <w:t>ProImmune’s Immune Formulation 200 ®: Physiologically Synthesized Glutathione (GSH) and Its Current Implications; A Brief Glutathione C-V</w:t>
      </w:r>
    </w:p>
    <w:p w14:paraId="45E18EFC" w14:textId="32FF0429" w:rsidR="00E516EE" w:rsidRPr="00C3701C" w:rsidRDefault="00006CA1" w:rsidP="00E516EE">
      <w:pPr>
        <w:jc w:val="center"/>
        <w:rPr>
          <w:sz w:val="28"/>
          <w:szCs w:val="28"/>
        </w:rPr>
      </w:pPr>
      <w:r>
        <w:rPr>
          <w:sz w:val="28"/>
          <w:szCs w:val="28"/>
        </w:rPr>
        <w:t>B</w:t>
      </w:r>
      <w:r w:rsidR="00E516EE" w:rsidRPr="00C3701C">
        <w:rPr>
          <w:sz w:val="28"/>
          <w:szCs w:val="28"/>
        </w:rPr>
        <w:t>y Albert B. Crum M.D.</w:t>
      </w:r>
      <w:r>
        <w:rPr>
          <w:sz w:val="28"/>
          <w:szCs w:val="28"/>
        </w:rPr>
        <w:t>,</w:t>
      </w:r>
      <w:r w:rsidR="00E516EE" w:rsidRPr="00C3701C">
        <w:rPr>
          <w:sz w:val="28"/>
          <w:szCs w:val="28"/>
        </w:rPr>
        <w:t xml:space="preserve"> M</w:t>
      </w:r>
      <w:r>
        <w:rPr>
          <w:sz w:val="28"/>
          <w:szCs w:val="28"/>
        </w:rPr>
        <w:t>.</w:t>
      </w:r>
      <w:r w:rsidR="00E516EE" w:rsidRPr="00C3701C">
        <w:rPr>
          <w:sz w:val="28"/>
          <w:szCs w:val="28"/>
        </w:rPr>
        <w:t>S</w:t>
      </w:r>
      <w:r>
        <w:rPr>
          <w:sz w:val="28"/>
          <w:szCs w:val="28"/>
        </w:rPr>
        <w:t>.</w:t>
      </w:r>
      <w:r w:rsidR="00E516EE">
        <w:rPr>
          <w:sz w:val="28"/>
          <w:szCs w:val="28"/>
        </w:rPr>
        <w:t>, D</w:t>
      </w:r>
      <w:r>
        <w:rPr>
          <w:sz w:val="28"/>
          <w:szCs w:val="28"/>
        </w:rPr>
        <w:t>.</w:t>
      </w:r>
      <w:r w:rsidR="00E516EE" w:rsidRPr="00C3701C">
        <w:rPr>
          <w:sz w:val="28"/>
          <w:szCs w:val="28"/>
        </w:rPr>
        <w:t>Sc</w:t>
      </w:r>
      <w:r w:rsidR="00E516EE">
        <w:rPr>
          <w:sz w:val="28"/>
          <w:szCs w:val="28"/>
        </w:rPr>
        <w:t>i</w:t>
      </w:r>
      <w:r w:rsidR="00E516EE" w:rsidRPr="00C3701C">
        <w:rPr>
          <w:sz w:val="28"/>
          <w:szCs w:val="28"/>
        </w:rPr>
        <w:t xml:space="preserve"> (Hon) ©</w:t>
      </w:r>
    </w:p>
    <w:p w14:paraId="79373542" w14:textId="288146AD" w:rsidR="00E516EE" w:rsidRPr="00107050" w:rsidRDefault="00E516EE" w:rsidP="00E516EE">
      <w:pPr>
        <w:spacing w:after="0" w:line="240" w:lineRule="auto"/>
        <w:ind w:firstLine="720"/>
      </w:pPr>
      <w:r w:rsidRPr="00107050">
        <w:t xml:space="preserve">The magnitude and scope of </w:t>
      </w:r>
      <w:r w:rsidRPr="00107050">
        <w:rPr>
          <w:b/>
          <w:bCs/>
        </w:rPr>
        <w:t>ProImmune’s Immune Formulation 200®</w:t>
      </w:r>
      <w:r w:rsidRPr="00107050">
        <w:t xml:space="preserve"> (PIF</w:t>
      </w:r>
      <w:r w:rsidR="0092103A" w:rsidRPr="00107050">
        <w:t xml:space="preserve"> </w:t>
      </w:r>
      <w:r w:rsidRPr="00107050">
        <w:t>200</w:t>
      </w:r>
      <w:r w:rsidR="00DA4A1F" w:rsidRPr="00107050">
        <w:t>®</w:t>
      </w:r>
      <w:r w:rsidR="0092103A" w:rsidRPr="00107050">
        <w:t>)</w:t>
      </w:r>
      <w:r w:rsidRPr="00107050">
        <w:t xml:space="preserve">, along with its pivotal implications, are herein presented. PIF 200® is a tripeptide </w:t>
      </w:r>
      <w:r w:rsidR="0092103A" w:rsidRPr="00107050">
        <w:t>(</w:t>
      </w:r>
      <w:r w:rsidR="0092103A" w:rsidRPr="00107050">
        <w:rPr>
          <w:b/>
          <w:bCs/>
        </w:rPr>
        <w:t>GLU-CYS-GLY</w:t>
      </w:r>
      <w:r w:rsidR="0092103A" w:rsidRPr="00107050">
        <w:t xml:space="preserve">) </w:t>
      </w:r>
      <w:r w:rsidRPr="00107050">
        <w:t xml:space="preserve">with amino acids, like those that natural selection favored </w:t>
      </w:r>
      <w:r w:rsidR="00D653F2" w:rsidRPr="00107050">
        <w:t xml:space="preserve">an </w:t>
      </w:r>
      <w:r w:rsidR="002B5097" w:rsidRPr="00107050">
        <w:t xml:space="preserve">estimated </w:t>
      </w:r>
      <w:r w:rsidRPr="00107050">
        <w:t xml:space="preserve">3.6 billion years ago. However, certain ante-porter inverse inhibitions and oxidative considerations favored </w:t>
      </w:r>
      <w:r w:rsidR="00D653F2" w:rsidRPr="00107050">
        <w:t xml:space="preserve">their </w:t>
      </w:r>
      <w:r w:rsidRPr="00107050">
        <w:t>precursors, where certain amino acids are utilized in the formulation that convert to the final amino acid</w:t>
      </w:r>
      <w:r w:rsidR="004D7524" w:rsidRPr="00107050">
        <w:t>s</w:t>
      </w:r>
      <w:r w:rsidRPr="00107050">
        <w:t xml:space="preserve"> within the cytosol. PIF 200® is chemically and physiologically and genetically and pleiotropically </w:t>
      </w:r>
      <w:r w:rsidRPr="00107050">
        <w:rPr>
          <w:b/>
          <w:bCs/>
          <w:u w:val="thick"/>
        </w:rPr>
        <w:t>defined</w:t>
      </w:r>
      <w:r w:rsidRPr="00107050">
        <w:t xml:space="preserve"> as the Glutathione progenitor core synthesis formula,</w:t>
      </w:r>
      <w:r w:rsidR="002B5097" w:rsidRPr="00107050">
        <w:t xml:space="preserve"> (</w:t>
      </w:r>
      <w:r w:rsidR="002B5097" w:rsidRPr="00107050">
        <w:rPr>
          <w:b/>
          <w:bCs/>
        </w:rPr>
        <w:t>GLU-CYS-GLY</w:t>
      </w:r>
      <w:r w:rsidR="002B5097" w:rsidRPr="00107050">
        <w:t xml:space="preserve">) </w:t>
      </w:r>
      <w:r w:rsidRPr="00107050">
        <w:t xml:space="preserve">or </w:t>
      </w:r>
      <w:r w:rsidR="002B5097" w:rsidRPr="00107050">
        <w:t>with its su</w:t>
      </w:r>
      <w:r w:rsidR="0002532B" w:rsidRPr="00107050">
        <w:t>bstrate</w:t>
      </w:r>
      <w:r w:rsidR="00811B5A" w:rsidRPr="00107050">
        <w:t xml:space="preserve"> </w:t>
      </w:r>
      <w:r w:rsidR="0002532B" w:rsidRPr="00107050">
        <w:t>physiologically specific</w:t>
      </w:r>
      <w:r w:rsidR="002B5097" w:rsidRPr="00107050">
        <w:t xml:space="preserve"> enzyme</w:t>
      </w:r>
      <w:r w:rsidR="0002532B" w:rsidRPr="00107050">
        <w:t>s</w:t>
      </w:r>
      <w:r w:rsidR="002B5097" w:rsidRPr="00107050">
        <w:t xml:space="preserve"> as the </w:t>
      </w:r>
      <w:r w:rsidRPr="00107050">
        <w:t>synthesis template, which operates through an interconvertible, renewable sulfhydryl (t</w:t>
      </w:r>
      <w:r w:rsidR="002B5097" w:rsidRPr="00107050">
        <w:t>h</w:t>
      </w:r>
      <w:r w:rsidR="0002532B" w:rsidRPr="00107050">
        <w:t>io</w:t>
      </w:r>
      <w:r w:rsidR="002B5097" w:rsidRPr="00107050">
        <w:t>l/</w:t>
      </w:r>
      <w:r w:rsidR="00006CA1" w:rsidRPr="00107050">
        <w:t>disulfide</w:t>
      </w:r>
      <w:r w:rsidRPr="00107050">
        <w:t>) energy cycle. ™</w:t>
      </w:r>
    </w:p>
    <w:p w14:paraId="56030B67" w14:textId="438BBF3A" w:rsidR="00E516EE" w:rsidRPr="00107050" w:rsidRDefault="002B5097" w:rsidP="00E516EE">
      <w:pPr>
        <w:spacing w:after="0" w:line="240" w:lineRule="auto"/>
        <w:ind w:firstLine="720"/>
      </w:pPr>
      <w:r w:rsidRPr="00107050">
        <w:rPr>
          <w:b/>
          <w:bCs/>
          <w:u w:val="thick"/>
        </w:rPr>
        <w:t xml:space="preserve">Evolutionary </w:t>
      </w:r>
      <w:r w:rsidR="00E516EE" w:rsidRPr="00107050">
        <w:rPr>
          <w:b/>
          <w:bCs/>
          <w:u w:val="thick"/>
        </w:rPr>
        <w:t>Background:</w:t>
      </w:r>
      <w:r w:rsidR="00E516EE" w:rsidRPr="00107050">
        <w:t xml:space="preserve"> as single-cell organisms such as cyanobacteria began to proliferate, with the benefit of oxygen respiratory and metabolic energy. However, the survival of these single-cell organisms was threatened by the very metabolites and waste products of oxygen metabolism. Cyanobacteria came into contact with oxygen, leading to the evolutionary emergence of a molecule later known as Glutathione. It is imperative to understand that no species can survive in its own waste products. Glutathione emerged as a savior molecule, merging into the intracellular corpus of Cyanobacterial and neutralizing the toxic survival threat posed by oxygen-derived waste products. Without Glutathione, the survival of early life-forms would have been in jeopardy.</w:t>
      </w:r>
    </w:p>
    <w:p w14:paraId="4DD953F2" w14:textId="77777777" w:rsidR="00E516EE" w:rsidRPr="00107050" w:rsidRDefault="00E516EE" w:rsidP="00E516EE">
      <w:pPr>
        <w:spacing w:after="0" w:line="240" w:lineRule="auto"/>
        <w:ind w:firstLine="720"/>
      </w:pPr>
      <w:r w:rsidRPr="00107050">
        <w:t>Glutathione fundamentally changed this dire outcome with its ability of electron transfer, neutralizing oxidative stress and oxy radicals. Through this mechanism, Glutathione and early life-forms co-evolved, establishing a specific interdependent process between host organisms and their intracellular cohabitees. Together, they formed a mutually beneficial interrelationship favored by natural selection, ensuring the survival of both entities.</w:t>
      </w:r>
    </w:p>
    <w:p w14:paraId="2576497A" w14:textId="1F101900" w:rsidR="00E516EE" w:rsidRPr="00107050" w:rsidRDefault="00E516EE" w:rsidP="00E516EE">
      <w:pPr>
        <w:spacing w:after="0" w:line="240" w:lineRule="auto"/>
        <w:ind w:firstLine="720"/>
        <w:rPr>
          <w:u w:val="single"/>
        </w:rPr>
      </w:pPr>
      <w:r w:rsidRPr="00107050">
        <w:t xml:space="preserve">Scientific evidence reveals that at least 146 genetic beneficial pleiotropies associated with Glutathione have persisted and are manifested today. </w:t>
      </w:r>
      <w:r w:rsidRPr="00107050">
        <w:rPr>
          <w:u w:val="thick"/>
        </w:rPr>
        <w:t>This co-evolution spread across all species, embedding itself in every cell type—whether kidney, heart,</w:t>
      </w:r>
      <w:r w:rsidR="00D041BB" w:rsidRPr="00107050">
        <w:rPr>
          <w:u w:val="thick"/>
        </w:rPr>
        <w:t xml:space="preserve"> brain, skin, muscle, reproductive,</w:t>
      </w:r>
      <w:r w:rsidRPr="00107050">
        <w:rPr>
          <w:u w:val="thick"/>
        </w:rPr>
        <w:t xml:space="preserve"> or </w:t>
      </w:r>
      <w:r w:rsidR="00D041BB" w:rsidRPr="00107050">
        <w:rPr>
          <w:u w:val="thick"/>
        </w:rPr>
        <w:t xml:space="preserve">endocrine </w:t>
      </w:r>
      <w:r w:rsidR="0092103A" w:rsidRPr="00107050">
        <w:rPr>
          <w:u w:val="thick"/>
        </w:rPr>
        <w:t>cell,</w:t>
      </w:r>
      <w:r w:rsidRPr="00107050">
        <w:rPr>
          <w:u w:val="thick"/>
        </w:rPr>
        <w:t xml:space="preserve"> etc of organisms ranging from hydras to giraffes, from rabbits, dogs, horses to humans.</w:t>
      </w:r>
      <w:r w:rsidRPr="00107050">
        <w:t xml:space="preserve"> Cyanobacteria itself did not undergo such widespread expansion; rather, its intracellular Glutathione molecule propagated to all life-forms. </w:t>
      </w:r>
      <w:r w:rsidR="002B5097" w:rsidRPr="00107050">
        <w:t>Estimated</w:t>
      </w:r>
      <w:r w:rsidRPr="00107050">
        <w:t xml:space="preserve"> </w:t>
      </w:r>
      <w:r w:rsidR="0002532B" w:rsidRPr="00107050">
        <w:t xml:space="preserve">over the </w:t>
      </w:r>
      <w:r w:rsidRPr="00107050">
        <w:t xml:space="preserve">3.6 billion years, Glutathione’s synthesis template became an integral part of </w:t>
      </w:r>
      <w:r w:rsidRPr="00107050">
        <w:rPr>
          <w:u w:val="single"/>
        </w:rPr>
        <w:t>every cell across all life-forms.</w:t>
      </w:r>
    </w:p>
    <w:p w14:paraId="45ED89A3" w14:textId="55CEC88A" w:rsidR="00E516EE" w:rsidRPr="00107050" w:rsidRDefault="00E516EE" w:rsidP="00E516EE">
      <w:pPr>
        <w:spacing w:after="0" w:line="240" w:lineRule="auto"/>
        <w:ind w:firstLine="720"/>
      </w:pPr>
      <w:r w:rsidRPr="00107050">
        <w:rPr>
          <w:u w:val="thick"/>
        </w:rPr>
        <w:t>The estimated 300,000,000,000,000 trillion human bodily cells each contain Glutathione’s synthesis template, irrespective of their specific function.</w:t>
      </w:r>
      <w:r w:rsidRPr="00107050">
        <w:t xml:space="preserve"> One of Glutathione's primary roles has always been electron transfer, which regulates oxidative stress. Today, Glutathione continues to monitor and regulate oxidative processes in every one of these trillions of cells. Moreover, natural selection has not only </w:t>
      </w:r>
      <w:r w:rsidR="002B5097" w:rsidRPr="00107050">
        <w:t>favored</w:t>
      </w:r>
      <w:r w:rsidRPr="00107050">
        <w:t xml:space="preserve"> Glutathione’s immunological expansion but also continuously preserved its synthesis and replenishment mechanisms. This ongoing evolutionary process can be likened to clinical trials conducted by natural selection, vetting and enhancing Glutathione’s beneficial functionality and benefits.</w:t>
      </w:r>
    </w:p>
    <w:p w14:paraId="44C61485" w14:textId="01FCF020" w:rsidR="00E516EE" w:rsidRPr="00107050" w:rsidRDefault="00006CA1" w:rsidP="00E516EE">
      <w:pPr>
        <w:spacing w:after="0" w:line="240" w:lineRule="auto"/>
        <w:ind w:firstLine="720"/>
      </w:pPr>
      <w:r w:rsidRPr="00107050">
        <w:rPr>
          <w:b/>
          <w:bCs/>
          <w:u w:val="thick"/>
        </w:rPr>
        <w:lastRenderedPageBreak/>
        <w:t>Current Implications:</w:t>
      </w:r>
      <w:r w:rsidRPr="00107050">
        <w:rPr>
          <w:u w:val="thick"/>
        </w:rPr>
        <w:t xml:space="preserve"> </w:t>
      </w:r>
      <w:r w:rsidR="00DA4A1F" w:rsidRPr="00107050">
        <w:rPr>
          <w:u w:val="thick"/>
        </w:rPr>
        <w:t>U</w:t>
      </w:r>
      <w:r w:rsidRPr="00107050">
        <w:rPr>
          <w:u w:val="thick"/>
        </w:rPr>
        <w:t xml:space="preserve">nderstanding </w:t>
      </w:r>
      <w:r w:rsidR="00DA4A1F" w:rsidRPr="00107050">
        <w:rPr>
          <w:u w:val="thick"/>
        </w:rPr>
        <w:t>N</w:t>
      </w:r>
      <w:r w:rsidRPr="00107050">
        <w:rPr>
          <w:u w:val="thick"/>
        </w:rPr>
        <w:t xml:space="preserve">atural </w:t>
      </w:r>
      <w:r w:rsidR="00DA4A1F" w:rsidRPr="00107050">
        <w:rPr>
          <w:u w:val="thick"/>
        </w:rPr>
        <w:t>S</w:t>
      </w:r>
      <w:r w:rsidRPr="00107050">
        <w:rPr>
          <w:u w:val="thick"/>
        </w:rPr>
        <w:t xml:space="preserve">election is like understanding an </w:t>
      </w:r>
      <w:r w:rsidR="00DA4A1F" w:rsidRPr="00107050">
        <w:rPr>
          <w:u w:val="thick"/>
        </w:rPr>
        <w:t>ongoing</w:t>
      </w:r>
      <w:r w:rsidRPr="00107050">
        <w:rPr>
          <w:u w:val="thick"/>
        </w:rPr>
        <w:t xml:space="preserve"> Human Clinical Trial (HCT).</w:t>
      </w:r>
      <w:r w:rsidRPr="00107050">
        <w:t xml:space="preserve">  A </w:t>
      </w:r>
      <w:r w:rsidR="00E516EE" w:rsidRPr="00107050">
        <w:t xml:space="preserve">clear example of Glutathione's potential lies in its role as a natural regulator of pathological lipogenesis, a process often targeted by synthetic statins. While synthetic statins are effective, they frequently come with serious adverse side effects. In contrast, Glutathione’s natural physiological effectiveness allows it to mitigate toxic </w:t>
      </w:r>
      <w:r w:rsidR="002B5097" w:rsidRPr="00107050">
        <w:t xml:space="preserve">lipid </w:t>
      </w:r>
      <w:r w:rsidR="00E516EE" w:rsidRPr="00107050">
        <w:t xml:space="preserve">reactions without these harmful effects. Scientific research has documented these benefits, suggesting that pharma companies could leverage Glutathione’s capabilities and revolutionize statin prescriptions worldwide. The implications for healthcare are profound, including a potential reduction in the prevalence of diabetes and severe neuromuscular pathologies often associated with synthetic </w:t>
      </w:r>
      <w:r w:rsidR="003465FF" w:rsidRPr="00107050">
        <w:t xml:space="preserve">statin </w:t>
      </w:r>
      <w:r w:rsidR="00E516EE" w:rsidRPr="00107050">
        <w:t>alternatives.</w:t>
      </w:r>
    </w:p>
    <w:p w14:paraId="7E0E1824" w14:textId="09B51FE7" w:rsidR="00E516EE" w:rsidRPr="00107050" w:rsidRDefault="00E516EE" w:rsidP="00E516EE">
      <w:pPr>
        <w:spacing w:after="0" w:line="240" w:lineRule="auto"/>
        <w:ind w:firstLine="720"/>
      </w:pPr>
      <w:r w:rsidRPr="00107050">
        <w:rPr>
          <w:u w:val="thick"/>
        </w:rPr>
        <w:t>The regulatory aspects if Glutathione synthesis template of Immune Formulation 200® reflects the evolutionary marvel of Glutathione’s development and replenishment.</w:t>
      </w:r>
      <w:r w:rsidRPr="00107050">
        <w:t xml:space="preserve"> Over billions of years, it has expanded its </w:t>
      </w:r>
      <w:r w:rsidR="00006CA1" w:rsidRPr="00107050">
        <w:t xml:space="preserve">participating </w:t>
      </w:r>
      <w:r w:rsidRPr="00107050">
        <w:t xml:space="preserve">role across all life-forms and </w:t>
      </w:r>
      <w:r w:rsidR="00DA4A1F" w:rsidRPr="00107050">
        <w:t xml:space="preserve">in all </w:t>
      </w:r>
      <w:r w:rsidRPr="00107050">
        <w:t>cellular functions, driving immunological innovation as described chronologically in the chart of Glutathione and supporting human health at a fundamental level. As pharma and healthcare industries begin to harness these natural-selection-</w:t>
      </w:r>
      <w:r w:rsidR="00FD026F" w:rsidRPr="00107050">
        <w:t>favored</w:t>
      </w:r>
      <w:r w:rsidRPr="00107050">
        <w:t xml:space="preserve"> benefits, they </w:t>
      </w:r>
      <w:r w:rsidR="00FD026F" w:rsidRPr="00107050">
        <w:t xml:space="preserve">can </w:t>
      </w:r>
      <w:r w:rsidR="003465FF" w:rsidRPr="00107050">
        <w:t xml:space="preserve">better </w:t>
      </w:r>
      <w:r w:rsidR="00FD026F" w:rsidRPr="00107050">
        <w:t xml:space="preserve">incorporate </w:t>
      </w:r>
      <w:r w:rsidRPr="00107050">
        <w:t xml:space="preserve">the management of oxidative stress and </w:t>
      </w:r>
      <w:r w:rsidR="00DA4A1F" w:rsidRPr="00107050">
        <w:t xml:space="preserve">even </w:t>
      </w:r>
      <w:r w:rsidRPr="00107050">
        <w:t>lipid-related disorders,</w:t>
      </w:r>
      <w:r w:rsidR="00FD026F" w:rsidRPr="00107050">
        <w:t xml:space="preserve"> along with the findings of natural selections</w:t>
      </w:r>
      <w:r w:rsidR="003465FF" w:rsidRPr="00107050">
        <w:t>,</w:t>
      </w:r>
      <w:r w:rsidRPr="00107050">
        <w:t xml:space="preserve"> bringing about a new era of safer and more effective therapies while being more </w:t>
      </w:r>
      <w:r w:rsidR="003465FF" w:rsidRPr="00107050">
        <w:t>economical. ®</w:t>
      </w:r>
    </w:p>
    <w:p w14:paraId="1BC85344" w14:textId="77777777" w:rsidR="00107050" w:rsidRDefault="00107050" w:rsidP="00E516EE">
      <w:pPr>
        <w:pBdr>
          <w:bottom w:val="single" w:sz="12" w:space="1" w:color="auto"/>
        </w:pBdr>
        <w:spacing w:after="0" w:line="240" w:lineRule="auto"/>
        <w:ind w:firstLine="720"/>
        <w:rPr>
          <w:sz w:val="28"/>
          <w:szCs w:val="28"/>
        </w:rPr>
      </w:pPr>
    </w:p>
    <w:p w14:paraId="3D6BF6E0" w14:textId="77777777" w:rsidR="00107050" w:rsidRDefault="00107050" w:rsidP="00E516EE">
      <w:pPr>
        <w:spacing w:after="0" w:line="240" w:lineRule="auto"/>
        <w:ind w:firstLine="720"/>
        <w:rPr>
          <w:sz w:val="28"/>
          <w:szCs w:val="28"/>
        </w:rPr>
      </w:pPr>
    </w:p>
    <w:p w14:paraId="3ECB43CE" w14:textId="47FB82CB" w:rsidR="00107050" w:rsidRPr="00107050" w:rsidRDefault="00107050" w:rsidP="00107050">
      <w:pPr>
        <w:spacing w:after="0" w:line="240" w:lineRule="auto"/>
        <w:ind w:firstLine="720"/>
        <w:rPr>
          <w:rFonts w:ascii="Avenir Book" w:hAnsi="Avenir Book"/>
          <w:sz w:val="18"/>
          <w:szCs w:val="18"/>
        </w:rPr>
      </w:pPr>
      <w:r w:rsidRPr="00107050">
        <w:rPr>
          <w:rFonts w:ascii="Avenir Book" w:hAnsi="Avenir Book"/>
          <w:sz w:val="18"/>
          <w:szCs w:val="18"/>
        </w:rPr>
        <w:t>The scientific definition of ProImmune above by Albert B. Crum M.D., M.S., D.Sci (Hon) describes why only the precise ingredients of ProImmune effectively and efficiently penetrate the cell membrane without bypassing the substrate specific enzymes like synthetic glutathione and NAC are shown to do according to the scientific research. (see chart below) The ingredients of ProImmune reduces toxicity and oxidative stress directly inside cells to help lower inflammation. It is common knowledge that oxidative stress and inflammation caused by depleted glutathione levels are the root cause of most chronic illnesses. Replenishing glutathione levels directly inside cells</w:t>
      </w:r>
      <w:r>
        <w:rPr>
          <w:rFonts w:ascii="Avenir Book" w:hAnsi="Avenir Book"/>
          <w:sz w:val="18"/>
          <w:szCs w:val="18"/>
        </w:rPr>
        <w:t>,</w:t>
      </w:r>
      <w:r w:rsidRPr="00107050">
        <w:rPr>
          <w:rFonts w:ascii="Avenir Book" w:hAnsi="Avenir Book"/>
          <w:sz w:val="18"/>
          <w:szCs w:val="18"/>
        </w:rPr>
        <w:t xml:space="preserve"> exactly as nature intended is showing positive results for many suffering from chronic conditions. </w:t>
      </w:r>
    </w:p>
    <w:p w14:paraId="4366D68F" w14:textId="77777777" w:rsidR="00107050" w:rsidRPr="006629DE" w:rsidRDefault="00107050" w:rsidP="00E516EE">
      <w:pPr>
        <w:spacing w:after="0" w:line="240" w:lineRule="auto"/>
        <w:ind w:firstLine="720"/>
        <w:rPr>
          <w:rFonts w:ascii="Avenir Book" w:hAnsi="Avenir Book"/>
          <w:color w:val="000000" w:themeColor="text1"/>
          <w:sz w:val="20"/>
          <w:szCs w:val="20"/>
        </w:rPr>
      </w:pPr>
    </w:p>
    <w:p w14:paraId="0EB3974B" w14:textId="4AFE6753" w:rsidR="00107050" w:rsidRDefault="006629DE" w:rsidP="00E26965">
      <w:pPr>
        <w:jc w:val="center"/>
        <w:rPr>
          <w:color w:val="000000" w:themeColor="text1"/>
        </w:rPr>
      </w:pPr>
      <w:hyperlink r:id="rId7" w:history="1">
        <w:r w:rsidRPr="006629DE">
          <w:rPr>
            <w:rStyle w:val="Hyperlink"/>
            <w:color w:val="000000" w:themeColor="text1"/>
            <w:u w:val="none"/>
          </w:rPr>
          <w:t>www.TheBestImmuneSupport.com</w:t>
        </w:r>
      </w:hyperlink>
    </w:p>
    <w:p w14:paraId="453DC2A2" w14:textId="77777777" w:rsidR="006629DE" w:rsidRDefault="006629DE" w:rsidP="00E26965">
      <w:pPr>
        <w:jc w:val="center"/>
        <w:rPr>
          <w:color w:val="000000" w:themeColor="text1"/>
        </w:rPr>
      </w:pPr>
    </w:p>
    <w:p w14:paraId="3037B1A9" w14:textId="29C56375" w:rsidR="006629DE" w:rsidRPr="006629DE" w:rsidRDefault="006629DE" w:rsidP="00E26965">
      <w:pPr>
        <w:jc w:val="center"/>
        <w:rPr>
          <w:color w:val="000000" w:themeColor="text1"/>
        </w:rPr>
      </w:pPr>
      <w:r>
        <w:rPr>
          <w:color w:val="000000" w:themeColor="text1"/>
        </w:rPr>
        <w:t>See Chart On Next Page To Better Understand Why Glutathione Products Bypass The Substrate Specific Enzymes Inside Cells</w:t>
      </w:r>
      <w:r w:rsidR="00346883">
        <w:rPr>
          <w:color w:val="000000" w:themeColor="text1"/>
        </w:rPr>
        <w:t xml:space="preserve"> and Places The Cells Into Disuse! Dr. Crum Discovered All This Plus 18 Universities Confirmed His Research and Deemed The All Natural Ingredients Of ProImmune Are Superior to NAC or Glutathione! Liposomal Glutathione Forces It’s Way Into Cells; Also Bypassing The Substrate Specific Enzymes and Many Health Professionals See Results. However, Liposomal Glutathione Is Like Taking A Steroid. It Looks Like It Is Working. However, The Person Is Diminishing His Or Her Own Body’s Natural Immune System! People Are Much Better Off Replenishing Glutathione Exactly As Nature Intended, Which Is By Replenishing Glutathione Intracellularly and Directly Inside Cells! This Is What The $88M NIH Research Grant Under 18 Universities Confirmed In Every Research! </w:t>
      </w:r>
    </w:p>
    <w:p w14:paraId="6141416C" w14:textId="77777777" w:rsidR="006629DE" w:rsidRDefault="006629DE" w:rsidP="00E26965">
      <w:pPr>
        <w:jc w:val="center"/>
      </w:pPr>
    </w:p>
    <w:p w14:paraId="03717D26" w14:textId="77777777" w:rsidR="006629DE" w:rsidRDefault="006629DE" w:rsidP="00E26965">
      <w:pPr>
        <w:jc w:val="center"/>
      </w:pPr>
    </w:p>
    <w:p w14:paraId="6DFFDC9E" w14:textId="77777777" w:rsidR="006629DE" w:rsidRDefault="006629DE" w:rsidP="00E26965">
      <w:pPr>
        <w:jc w:val="center"/>
      </w:pPr>
    </w:p>
    <w:p w14:paraId="4CD6E456" w14:textId="77777777" w:rsidR="006629DE" w:rsidRDefault="006629DE" w:rsidP="00E26965">
      <w:pPr>
        <w:jc w:val="center"/>
      </w:pPr>
    </w:p>
    <w:p w14:paraId="5B231435" w14:textId="77777777" w:rsidR="006629DE" w:rsidRDefault="006629DE" w:rsidP="00E26965">
      <w:pPr>
        <w:jc w:val="center"/>
      </w:pPr>
    </w:p>
    <w:p w14:paraId="6939CFF0" w14:textId="77777777" w:rsidR="006629DE" w:rsidRDefault="006629DE" w:rsidP="00E26965">
      <w:pPr>
        <w:jc w:val="center"/>
      </w:pPr>
    </w:p>
    <w:p w14:paraId="2BE57C45" w14:textId="6056245F" w:rsidR="006629DE" w:rsidRDefault="006629DE" w:rsidP="00132F6F">
      <w:pPr>
        <w:jc w:val="center"/>
      </w:pPr>
    </w:p>
    <w:p w14:paraId="492EDC35" w14:textId="7718E0A3" w:rsidR="006629DE" w:rsidRDefault="006629DE" w:rsidP="00E26965">
      <w:pPr>
        <w:jc w:val="center"/>
      </w:pPr>
    </w:p>
    <w:p w14:paraId="23FBAD73" w14:textId="12C052A3" w:rsidR="006629DE" w:rsidRDefault="00CE5EF4" w:rsidP="00132F6F">
      <w:r>
        <w:rPr>
          <w:noProof/>
        </w:rPr>
        <w:drawing>
          <wp:inline distT="0" distB="0" distL="0" distR="0" wp14:anchorId="772EEC56" wp14:editId="55E3FD84">
            <wp:extent cx="6858000" cy="5346700"/>
            <wp:effectExtent l="0" t="0" r="0" b="0"/>
            <wp:docPr id="1548142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42913" name="Picture 1548142913"/>
                    <pic:cNvPicPr/>
                  </pic:nvPicPr>
                  <pic:blipFill>
                    <a:blip r:embed="rId8"/>
                    <a:stretch>
                      <a:fillRect/>
                    </a:stretch>
                  </pic:blipFill>
                  <pic:spPr>
                    <a:xfrm>
                      <a:off x="0" y="0"/>
                      <a:ext cx="6858000" cy="5346700"/>
                    </a:xfrm>
                    <a:prstGeom prst="rect">
                      <a:avLst/>
                    </a:prstGeom>
                  </pic:spPr>
                </pic:pic>
              </a:graphicData>
            </a:graphic>
          </wp:inline>
        </w:drawing>
      </w:r>
    </w:p>
    <w:sectPr w:rsidR="006629DE" w:rsidSect="00107050">
      <w:headerReference w:type="even" r:id="rId9"/>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F56AC" w14:textId="77777777" w:rsidR="001B5676" w:rsidRDefault="001B5676" w:rsidP="0052539D">
      <w:pPr>
        <w:spacing w:after="0" w:line="240" w:lineRule="auto"/>
      </w:pPr>
      <w:r>
        <w:separator/>
      </w:r>
    </w:p>
  </w:endnote>
  <w:endnote w:type="continuationSeparator" w:id="0">
    <w:p w14:paraId="4C015EEB" w14:textId="77777777" w:rsidR="001B5676" w:rsidRDefault="001B5676" w:rsidP="00525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venir Book">
    <w:panose1 w:val="02000503020000020003"/>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33FF2" w14:textId="77777777" w:rsidR="001B5676" w:rsidRDefault="001B5676" w:rsidP="0052539D">
      <w:pPr>
        <w:spacing w:after="0" w:line="240" w:lineRule="auto"/>
      </w:pPr>
      <w:r>
        <w:separator/>
      </w:r>
    </w:p>
  </w:footnote>
  <w:footnote w:type="continuationSeparator" w:id="0">
    <w:p w14:paraId="2F86B142" w14:textId="77777777" w:rsidR="001B5676" w:rsidRDefault="001B5676" w:rsidP="00525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9387604"/>
      <w:docPartObj>
        <w:docPartGallery w:val="Page Numbers (Top of Page)"/>
        <w:docPartUnique/>
      </w:docPartObj>
    </w:sdtPr>
    <w:sdtContent>
      <w:p w14:paraId="127F542E" w14:textId="0B3E0071" w:rsidR="0052539D" w:rsidRDefault="0052539D" w:rsidP="008F11A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0046D4" w14:textId="77777777" w:rsidR="0052539D" w:rsidRDefault="005253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0780099"/>
      <w:docPartObj>
        <w:docPartGallery w:val="Page Numbers (Top of Page)"/>
        <w:docPartUnique/>
      </w:docPartObj>
    </w:sdtPr>
    <w:sdtContent>
      <w:p w14:paraId="5ADA805D" w14:textId="584D545C" w:rsidR="0052539D" w:rsidRDefault="0052539D" w:rsidP="008F11A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56E13A" w14:textId="77777777" w:rsidR="0052539D" w:rsidRDefault="0052539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6EE"/>
    <w:rsid w:val="00006CA1"/>
    <w:rsid w:val="0002532B"/>
    <w:rsid w:val="000C07FA"/>
    <w:rsid w:val="00107050"/>
    <w:rsid w:val="00132F6F"/>
    <w:rsid w:val="00164467"/>
    <w:rsid w:val="001B5676"/>
    <w:rsid w:val="002049F8"/>
    <w:rsid w:val="002718CD"/>
    <w:rsid w:val="0029761E"/>
    <w:rsid w:val="002B5097"/>
    <w:rsid w:val="003465FF"/>
    <w:rsid w:val="00346883"/>
    <w:rsid w:val="003617A9"/>
    <w:rsid w:val="00392398"/>
    <w:rsid w:val="004D7524"/>
    <w:rsid w:val="0052539D"/>
    <w:rsid w:val="0065597E"/>
    <w:rsid w:val="006629DE"/>
    <w:rsid w:val="00684765"/>
    <w:rsid w:val="007127CB"/>
    <w:rsid w:val="00787B65"/>
    <w:rsid w:val="007D1FBD"/>
    <w:rsid w:val="007E2F8E"/>
    <w:rsid w:val="00811B5A"/>
    <w:rsid w:val="0087201C"/>
    <w:rsid w:val="0092103A"/>
    <w:rsid w:val="00CC365F"/>
    <w:rsid w:val="00CE5EF4"/>
    <w:rsid w:val="00D041BB"/>
    <w:rsid w:val="00D653F2"/>
    <w:rsid w:val="00DA4A1F"/>
    <w:rsid w:val="00DA644D"/>
    <w:rsid w:val="00E26965"/>
    <w:rsid w:val="00E516EE"/>
    <w:rsid w:val="00EF1433"/>
    <w:rsid w:val="00F27876"/>
    <w:rsid w:val="00FD026F"/>
    <w:rsid w:val="00FE5F5E"/>
    <w:rsid w:val="00FF2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DA65D"/>
  <w15:chartTrackingRefBased/>
  <w15:docId w15:val="{C92AFFC5-11B5-2D47-A7ED-CFDF78C02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6EE"/>
  </w:style>
  <w:style w:type="paragraph" w:styleId="Heading1">
    <w:name w:val="heading 1"/>
    <w:basedOn w:val="Normal"/>
    <w:next w:val="Normal"/>
    <w:link w:val="Heading1Char"/>
    <w:uiPriority w:val="9"/>
    <w:qFormat/>
    <w:rsid w:val="00E516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16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16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16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16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16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16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16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16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6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16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16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16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16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16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16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16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16EE"/>
    <w:rPr>
      <w:rFonts w:eastAsiaTheme="majorEastAsia" w:cstheme="majorBidi"/>
      <w:color w:val="272727" w:themeColor="text1" w:themeTint="D8"/>
    </w:rPr>
  </w:style>
  <w:style w:type="paragraph" w:styleId="Title">
    <w:name w:val="Title"/>
    <w:basedOn w:val="Normal"/>
    <w:next w:val="Normal"/>
    <w:link w:val="TitleChar"/>
    <w:uiPriority w:val="10"/>
    <w:qFormat/>
    <w:rsid w:val="00E516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16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16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16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16EE"/>
    <w:pPr>
      <w:spacing w:before="160"/>
      <w:jc w:val="center"/>
    </w:pPr>
    <w:rPr>
      <w:i/>
      <w:iCs/>
      <w:color w:val="404040" w:themeColor="text1" w:themeTint="BF"/>
    </w:rPr>
  </w:style>
  <w:style w:type="character" w:customStyle="1" w:styleId="QuoteChar">
    <w:name w:val="Quote Char"/>
    <w:basedOn w:val="DefaultParagraphFont"/>
    <w:link w:val="Quote"/>
    <w:uiPriority w:val="29"/>
    <w:rsid w:val="00E516EE"/>
    <w:rPr>
      <w:i/>
      <w:iCs/>
      <w:color w:val="404040" w:themeColor="text1" w:themeTint="BF"/>
    </w:rPr>
  </w:style>
  <w:style w:type="paragraph" w:styleId="ListParagraph">
    <w:name w:val="List Paragraph"/>
    <w:basedOn w:val="Normal"/>
    <w:uiPriority w:val="34"/>
    <w:qFormat/>
    <w:rsid w:val="00E516EE"/>
    <w:pPr>
      <w:ind w:left="720"/>
      <w:contextualSpacing/>
    </w:pPr>
  </w:style>
  <w:style w:type="character" w:styleId="IntenseEmphasis">
    <w:name w:val="Intense Emphasis"/>
    <w:basedOn w:val="DefaultParagraphFont"/>
    <w:uiPriority w:val="21"/>
    <w:qFormat/>
    <w:rsid w:val="00E516EE"/>
    <w:rPr>
      <w:i/>
      <w:iCs/>
      <w:color w:val="0F4761" w:themeColor="accent1" w:themeShade="BF"/>
    </w:rPr>
  </w:style>
  <w:style w:type="paragraph" w:styleId="IntenseQuote">
    <w:name w:val="Intense Quote"/>
    <w:basedOn w:val="Normal"/>
    <w:next w:val="Normal"/>
    <w:link w:val="IntenseQuoteChar"/>
    <w:uiPriority w:val="30"/>
    <w:qFormat/>
    <w:rsid w:val="00E516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16EE"/>
    <w:rPr>
      <w:i/>
      <w:iCs/>
      <w:color w:val="0F4761" w:themeColor="accent1" w:themeShade="BF"/>
    </w:rPr>
  </w:style>
  <w:style w:type="character" w:styleId="IntenseReference">
    <w:name w:val="Intense Reference"/>
    <w:basedOn w:val="DefaultParagraphFont"/>
    <w:uiPriority w:val="32"/>
    <w:qFormat/>
    <w:rsid w:val="00E516EE"/>
    <w:rPr>
      <w:b/>
      <w:bCs/>
      <w:smallCaps/>
      <w:color w:val="0F4761" w:themeColor="accent1" w:themeShade="BF"/>
      <w:spacing w:val="5"/>
    </w:rPr>
  </w:style>
  <w:style w:type="paragraph" w:styleId="Header">
    <w:name w:val="header"/>
    <w:basedOn w:val="Normal"/>
    <w:link w:val="HeaderChar"/>
    <w:uiPriority w:val="99"/>
    <w:unhideWhenUsed/>
    <w:rsid w:val="005253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39D"/>
  </w:style>
  <w:style w:type="paragraph" w:styleId="Footer">
    <w:name w:val="footer"/>
    <w:basedOn w:val="Normal"/>
    <w:link w:val="FooterChar"/>
    <w:uiPriority w:val="99"/>
    <w:unhideWhenUsed/>
    <w:rsid w:val="005253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39D"/>
  </w:style>
  <w:style w:type="character" w:styleId="PageNumber">
    <w:name w:val="page number"/>
    <w:basedOn w:val="DefaultParagraphFont"/>
    <w:uiPriority w:val="99"/>
    <w:semiHidden/>
    <w:unhideWhenUsed/>
    <w:rsid w:val="0052539D"/>
  </w:style>
  <w:style w:type="character" w:styleId="Hyperlink">
    <w:name w:val="Hyperlink"/>
    <w:basedOn w:val="DefaultParagraphFont"/>
    <w:uiPriority w:val="99"/>
    <w:unhideWhenUsed/>
    <w:rsid w:val="006629DE"/>
    <w:rPr>
      <w:color w:val="467886" w:themeColor="hyperlink"/>
      <w:u w:val="single"/>
    </w:rPr>
  </w:style>
  <w:style w:type="character" w:styleId="UnresolvedMention">
    <w:name w:val="Unresolved Mention"/>
    <w:basedOn w:val="DefaultParagraphFont"/>
    <w:uiPriority w:val="99"/>
    <w:semiHidden/>
    <w:unhideWhenUsed/>
    <w:rsid w:val="00662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TheBestImmuneSuppor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3FC9B-4286-4F4E-BADE-AB1FACE4C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939</Words>
  <Characters>5970</Characters>
  <Application>Microsoft Office Word</Application>
  <DocSecurity>0</DocSecurity>
  <Lines>88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Crum</dc:creator>
  <cp:keywords/>
  <dc:description/>
  <cp:lastModifiedBy>Joseph Cassarino</cp:lastModifiedBy>
  <cp:revision>3</cp:revision>
  <cp:lastPrinted>2024-12-27T16:13:00Z</cp:lastPrinted>
  <dcterms:created xsi:type="dcterms:W3CDTF">2025-07-06T14:52:00Z</dcterms:created>
  <dcterms:modified xsi:type="dcterms:W3CDTF">2026-04-05T01:20:00Z</dcterms:modified>
</cp:coreProperties>
</file>